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4E5D" w14:textId="77777777" w:rsidR="005E3685" w:rsidRDefault="005E3685" w:rsidP="00C53722">
      <w:pPr>
        <w:jc w:val="both"/>
        <w:rPr>
          <w:b/>
          <w:bCs/>
          <w:i/>
          <w:iCs/>
          <w:color w:val="1F497D" w:themeColor="text2"/>
          <w:sz w:val="24"/>
          <w:szCs w:val="24"/>
          <w:u w:val="single"/>
        </w:rPr>
      </w:pPr>
    </w:p>
    <w:p w14:paraId="0E93C579" w14:textId="1FBC7AB9" w:rsidR="00AC2124" w:rsidRDefault="00AC2124" w:rsidP="00C53722">
      <w:pPr>
        <w:jc w:val="both"/>
        <w:rPr>
          <w:i/>
          <w:iCs/>
        </w:rPr>
      </w:pPr>
      <w:r w:rsidRPr="00841A82">
        <w:rPr>
          <w:b/>
          <w:bCs/>
          <w:i/>
          <w:iCs/>
          <w:color w:val="1F497D" w:themeColor="text2"/>
          <w:sz w:val="24"/>
          <w:szCs w:val="24"/>
          <w:u w:val="single"/>
        </w:rPr>
        <w:t>Objectif de la subvention</w:t>
      </w:r>
      <w:r w:rsidRPr="00841A82">
        <w:rPr>
          <w:b/>
          <w:bCs/>
          <w:i/>
          <w:iCs/>
          <w:color w:val="1F497D" w:themeColor="text2"/>
          <w:sz w:val="24"/>
          <w:szCs w:val="24"/>
        </w:rPr>
        <w:t> </w:t>
      </w:r>
      <w:r w:rsidRPr="00AC53F9">
        <w:rPr>
          <w:b/>
          <w:bCs/>
          <w:i/>
          <w:iCs/>
        </w:rPr>
        <w:t>:</w:t>
      </w:r>
      <w:r w:rsidR="00ED6F69" w:rsidRPr="00AC53F9">
        <w:rPr>
          <w:b/>
          <w:bCs/>
          <w:i/>
          <w:iCs/>
        </w:rPr>
        <w:t xml:space="preserve"> </w:t>
      </w:r>
      <w:r w:rsidRPr="00AC53F9">
        <w:rPr>
          <w:i/>
          <w:iCs/>
        </w:rPr>
        <w:t>Aider financièrement les acteurs économiques de la communauté d</w:t>
      </w:r>
      <w:r w:rsidR="0018781A" w:rsidRPr="00AC53F9">
        <w:rPr>
          <w:i/>
          <w:iCs/>
        </w:rPr>
        <w:t>e</w:t>
      </w:r>
      <w:r w:rsidRPr="00AC53F9">
        <w:rPr>
          <w:i/>
          <w:iCs/>
        </w:rPr>
        <w:t xml:space="preserve"> communes </w:t>
      </w:r>
      <w:r w:rsidRPr="00AC53F9">
        <w:rPr>
          <w:b/>
          <w:bCs/>
          <w:i/>
          <w:iCs/>
        </w:rPr>
        <w:t xml:space="preserve">qui </w:t>
      </w:r>
      <w:r w:rsidR="00893361">
        <w:rPr>
          <w:b/>
          <w:bCs/>
          <w:i/>
          <w:iCs/>
        </w:rPr>
        <w:t>sont</w:t>
      </w:r>
      <w:r w:rsidRPr="00AC53F9">
        <w:rPr>
          <w:b/>
          <w:bCs/>
          <w:i/>
          <w:iCs/>
        </w:rPr>
        <w:t xml:space="preserve"> rest</w:t>
      </w:r>
      <w:r w:rsidR="00893361">
        <w:rPr>
          <w:b/>
          <w:bCs/>
          <w:i/>
          <w:iCs/>
        </w:rPr>
        <w:t>és</w:t>
      </w:r>
      <w:r w:rsidRPr="00AC53F9">
        <w:rPr>
          <w:b/>
          <w:bCs/>
          <w:i/>
          <w:iCs/>
        </w:rPr>
        <w:t xml:space="preserve"> ferm</w:t>
      </w:r>
      <w:r w:rsidR="00841A82">
        <w:rPr>
          <w:b/>
          <w:bCs/>
          <w:i/>
          <w:iCs/>
        </w:rPr>
        <w:t>és</w:t>
      </w:r>
      <w:r w:rsidRPr="00AC53F9">
        <w:rPr>
          <w:b/>
          <w:bCs/>
          <w:i/>
          <w:iCs/>
        </w:rPr>
        <w:t xml:space="preserve"> </w:t>
      </w:r>
      <w:r w:rsidRPr="00CB3E94">
        <w:rPr>
          <w:b/>
          <w:bCs/>
          <w:i/>
          <w:iCs/>
          <w:u w:val="single"/>
        </w:rPr>
        <w:t>après</w:t>
      </w:r>
      <w:r w:rsidRPr="00AC53F9">
        <w:rPr>
          <w:b/>
          <w:bCs/>
          <w:i/>
          <w:iCs/>
        </w:rPr>
        <w:t xml:space="preserve"> le déconfinement du 11 mai </w:t>
      </w:r>
      <w:r w:rsidR="00D00CBF">
        <w:rPr>
          <w:b/>
          <w:bCs/>
          <w:i/>
          <w:iCs/>
        </w:rPr>
        <w:t xml:space="preserve">2020 </w:t>
      </w:r>
      <w:r w:rsidR="0012558F" w:rsidRPr="00AC53F9">
        <w:rPr>
          <w:i/>
          <w:iCs/>
        </w:rPr>
        <w:t xml:space="preserve">et dont la </w:t>
      </w:r>
      <w:r w:rsidR="0012558F" w:rsidRPr="00AC53F9">
        <w:rPr>
          <w:b/>
          <w:bCs/>
          <w:i/>
          <w:iCs/>
        </w:rPr>
        <w:t>réouverture n’a été possible</w:t>
      </w:r>
      <w:r w:rsidR="0012558F" w:rsidRPr="00AC53F9">
        <w:rPr>
          <w:i/>
          <w:iCs/>
        </w:rPr>
        <w:t xml:space="preserve"> </w:t>
      </w:r>
      <w:r w:rsidR="0012558F" w:rsidRPr="00AC53F9">
        <w:rPr>
          <w:b/>
          <w:bCs/>
          <w:i/>
          <w:iCs/>
        </w:rPr>
        <w:t>qu’à partir d</w:t>
      </w:r>
      <w:r w:rsidR="005E3685">
        <w:rPr>
          <w:b/>
          <w:bCs/>
          <w:i/>
          <w:iCs/>
        </w:rPr>
        <w:t>u 1</w:t>
      </w:r>
      <w:r w:rsidR="005E3685" w:rsidRPr="005E3685">
        <w:rPr>
          <w:b/>
          <w:bCs/>
          <w:i/>
          <w:iCs/>
          <w:vertAlign w:val="superscript"/>
        </w:rPr>
        <w:t>er</w:t>
      </w:r>
      <w:r w:rsidR="0012558F" w:rsidRPr="00AC53F9">
        <w:rPr>
          <w:b/>
          <w:bCs/>
          <w:i/>
          <w:iCs/>
        </w:rPr>
        <w:t xml:space="preserve"> juin</w:t>
      </w:r>
      <w:r w:rsidR="00AC53F9">
        <w:rPr>
          <w:b/>
          <w:bCs/>
          <w:i/>
          <w:iCs/>
        </w:rPr>
        <w:t xml:space="preserve"> </w:t>
      </w:r>
      <w:r w:rsidR="00D00CBF">
        <w:rPr>
          <w:b/>
          <w:bCs/>
          <w:i/>
          <w:iCs/>
        </w:rPr>
        <w:t xml:space="preserve">2020 </w:t>
      </w:r>
      <w:r w:rsidR="00AC53F9">
        <w:rPr>
          <w:b/>
          <w:bCs/>
          <w:i/>
          <w:iCs/>
        </w:rPr>
        <w:t>ou plus tard</w:t>
      </w:r>
      <w:r w:rsidR="0012558F" w:rsidRPr="00AC53F9">
        <w:rPr>
          <w:i/>
          <w:iCs/>
        </w:rPr>
        <w:t>, car soumis</w:t>
      </w:r>
      <w:r w:rsidR="00841A82">
        <w:rPr>
          <w:i/>
          <w:iCs/>
        </w:rPr>
        <w:t>e</w:t>
      </w:r>
      <w:r w:rsidR="0012558F" w:rsidRPr="00AC53F9">
        <w:rPr>
          <w:i/>
          <w:iCs/>
        </w:rPr>
        <w:t xml:space="preserve"> à des protocoles sanitaires d’accueil des publics/clients </w:t>
      </w:r>
      <w:r w:rsidR="00893361">
        <w:rPr>
          <w:i/>
          <w:iCs/>
        </w:rPr>
        <w:t xml:space="preserve">et de protection des salariés </w:t>
      </w:r>
      <w:r w:rsidR="0012558F" w:rsidRPr="00AC53F9">
        <w:rPr>
          <w:i/>
          <w:iCs/>
        </w:rPr>
        <w:t>particulièrement contraignants</w:t>
      </w:r>
      <w:r w:rsidR="00AC53F9">
        <w:rPr>
          <w:b/>
          <w:bCs/>
          <w:i/>
          <w:iCs/>
        </w:rPr>
        <w:t xml:space="preserve"> </w:t>
      </w:r>
      <w:r w:rsidR="00AC53F9">
        <w:rPr>
          <w:i/>
          <w:iCs/>
        </w:rPr>
        <w:t>(exemples : restaurants, cafés, bars, hôtels, camping, activités de loisirs divers, entreprise dans l’évènementiel, la culture le spectacle, musée…)</w:t>
      </w:r>
    </w:p>
    <w:p w14:paraId="3DC77C49" w14:textId="0D71F436" w:rsidR="00AC53F9" w:rsidRDefault="00AC2124" w:rsidP="00AC53F9">
      <w:pPr>
        <w:jc w:val="both"/>
        <w:rPr>
          <w:i/>
          <w:iCs/>
        </w:rPr>
      </w:pPr>
      <w:r w:rsidRPr="00AC53F9">
        <w:rPr>
          <w:b/>
          <w:bCs/>
          <w:i/>
          <w:iCs/>
          <w:color w:val="1F497D" w:themeColor="text2"/>
          <w:u w:val="single"/>
        </w:rPr>
        <w:t>Bénéficiaires</w:t>
      </w:r>
      <w:r w:rsidRPr="00AC53F9">
        <w:rPr>
          <w:b/>
          <w:bCs/>
          <w:i/>
          <w:iCs/>
          <w:color w:val="1F497D" w:themeColor="text2"/>
        </w:rPr>
        <w:t xml:space="preserve"> : </w:t>
      </w:r>
      <w:r w:rsidR="00AC53F9">
        <w:rPr>
          <w:b/>
          <w:bCs/>
          <w:i/>
          <w:iCs/>
          <w:color w:val="1F497D" w:themeColor="text2"/>
        </w:rPr>
        <w:t xml:space="preserve">- </w:t>
      </w:r>
      <w:r w:rsidR="00ED6F69" w:rsidRPr="00AC53F9">
        <w:rPr>
          <w:i/>
          <w:iCs/>
        </w:rPr>
        <w:t xml:space="preserve">Entreprises et associations </w:t>
      </w:r>
      <w:r w:rsidR="00AC53F9">
        <w:rPr>
          <w:i/>
          <w:iCs/>
        </w:rPr>
        <w:t>dont le siège est sur l’une des 10 communes de la communauté de communes </w:t>
      </w:r>
    </w:p>
    <w:p w14:paraId="67B2632D" w14:textId="66BB13BB" w:rsidR="00AC53F9" w:rsidRDefault="00AC53F9" w:rsidP="00AC53F9">
      <w:pPr>
        <w:pStyle w:val="Paragraphedeliste"/>
        <w:numPr>
          <w:ilvl w:val="0"/>
          <w:numId w:val="8"/>
        </w:numPr>
        <w:rPr>
          <w:i/>
          <w:iCs/>
        </w:rPr>
      </w:pPr>
      <w:r>
        <w:rPr>
          <w:i/>
          <w:iCs/>
        </w:rPr>
        <w:t xml:space="preserve">De 10 salariés CDI équivalent temps plein </w:t>
      </w:r>
      <w:r w:rsidRPr="00841A82">
        <w:rPr>
          <w:b/>
          <w:bCs/>
          <w:i/>
          <w:iCs/>
        </w:rPr>
        <w:t>maximum</w:t>
      </w:r>
      <w:r>
        <w:rPr>
          <w:i/>
          <w:iCs/>
        </w:rPr>
        <w:t xml:space="preserve"> (hors gérant/Président)</w:t>
      </w:r>
    </w:p>
    <w:p w14:paraId="31F0CDBE" w14:textId="318ED31A" w:rsidR="00AC53F9" w:rsidRDefault="00AC53F9" w:rsidP="00AC53F9">
      <w:pPr>
        <w:pStyle w:val="Paragraphedeliste"/>
        <w:numPr>
          <w:ilvl w:val="0"/>
          <w:numId w:val="8"/>
        </w:numPr>
        <w:rPr>
          <w:i/>
          <w:iCs/>
        </w:rPr>
      </w:pPr>
      <w:r>
        <w:rPr>
          <w:i/>
          <w:iCs/>
        </w:rPr>
        <w:t xml:space="preserve">Dont le chiffre d’affaire annuel est </w:t>
      </w:r>
      <w:r>
        <w:rPr>
          <w:rFonts w:cstheme="minorHAnsi"/>
          <w:i/>
          <w:iCs/>
        </w:rPr>
        <w:t>&lt;</w:t>
      </w:r>
      <w:r>
        <w:rPr>
          <w:i/>
          <w:iCs/>
        </w:rPr>
        <w:t xml:space="preserve"> à 1Md’€ </w:t>
      </w:r>
      <w:r w:rsidR="00CB3E94">
        <w:rPr>
          <w:i/>
          <w:iCs/>
        </w:rPr>
        <w:t xml:space="preserve">et un bénéfice imposable </w:t>
      </w:r>
      <w:r w:rsidR="00CB3E94">
        <w:rPr>
          <w:rFonts w:cstheme="minorHAnsi"/>
          <w:i/>
          <w:iCs/>
        </w:rPr>
        <w:t>&lt;</w:t>
      </w:r>
      <w:r w:rsidR="00CB3E94">
        <w:rPr>
          <w:i/>
          <w:iCs/>
        </w:rPr>
        <w:t xml:space="preserve"> 60 000€ sur le dernier exercice clos</w:t>
      </w:r>
    </w:p>
    <w:p w14:paraId="4F454E3B" w14:textId="27107103" w:rsidR="00CB3E94" w:rsidRPr="00CB3E94" w:rsidRDefault="00CB3E94" w:rsidP="00CB3E94">
      <w:pPr>
        <w:ind w:left="360"/>
        <w:jc w:val="both"/>
        <w:rPr>
          <w:i/>
          <w:iCs/>
          <w:color w:val="4F6228" w:themeColor="accent3" w:themeShade="80"/>
        </w:rPr>
      </w:pPr>
      <w:r w:rsidRPr="00CB3E94">
        <w:rPr>
          <w:color w:val="4F6228" w:themeColor="accent3" w:themeShade="80"/>
          <w:sz w:val="26"/>
          <w:szCs w:val="26"/>
        </w:rPr>
        <w:sym w:font="Webdings" w:char="F069"/>
      </w:r>
      <w:r w:rsidRPr="00CB3E94">
        <w:rPr>
          <w:i/>
          <w:iCs/>
          <w:color w:val="4F6228" w:themeColor="accent3" w:themeShade="80"/>
          <w:sz w:val="26"/>
          <w:szCs w:val="26"/>
        </w:rPr>
        <w:t xml:space="preserve"> </w:t>
      </w:r>
      <w:r w:rsidRPr="00CB3E94">
        <w:rPr>
          <w:i/>
          <w:iCs/>
          <w:color w:val="4F6228" w:themeColor="accent3" w:themeShade="80"/>
        </w:rPr>
        <w:t>Attestation sur l’honneur jointe à remplir</w:t>
      </w:r>
      <w:r w:rsidR="005E3685">
        <w:rPr>
          <w:i/>
          <w:iCs/>
          <w:color w:val="4F6228" w:themeColor="accent3" w:themeShade="80"/>
        </w:rPr>
        <w:t xml:space="preserve"> et signer</w:t>
      </w:r>
    </w:p>
    <w:p w14:paraId="451D020C" w14:textId="03343227" w:rsidR="00DC2F53" w:rsidRPr="00DC2F53" w:rsidRDefault="00CB3E94" w:rsidP="00841A82">
      <w:pPr>
        <w:spacing w:after="0"/>
        <w:jc w:val="both"/>
      </w:pPr>
      <w:r w:rsidRPr="00CB3E94">
        <w:rPr>
          <w:b/>
          <w:bCs/>
          <w:i/>
          <w:iCs/>
          <w:color w:val="1F497D" w:themeColor="text2"/>
          <w:u w:val="single"/>
        </w:rPr>
        <w:t>Dépenses prises en charges</w:t>
      </w:r>
      <w:r w:rsidRPr="00CB3E94">
        <w:rPr>
          <w:b/>
          <w:bCs/>
          <w:i/>
          <w:iCs/>
          <w:color w:val="1F497D" w:themeColor="text2"/>
        </w:rPr>
        <w:t xml:space="preserve"> : </w:t>
      </w:r>
      <w:r w:rsidRPr="00CB3E94">
        <w:rPr>
          <w:i/>
          <w:iCs/>
          <w:color w:val="000000" w:themeColor="text1"/>
        </w:rPr>
        <w:t>Dépenses d’</w:t>
      </w:r>
      <w:r w:rsidRPr="00CB3E94">
        <w:rPr>
          <w:b/>
          <w:bCs/>
          <w:i/>
          <w:iCs/>
          <w:color w:val="000000" w:themeColor="text1"/>
        </w:rPr>
        <w:t xml:space="preserve">investissement et de fonctionnement </w:t>
      </w:r>
      <w:r w:rsidRPr="00CB3E94">
        <w:rPr>
          <w:i/>
          <w:iCs/>
          <w:color w:val="000000" w:themeColor="text1"/>
        </w:rPr>
        <w:t>rendues nécessaires par l’application du protocole sanitaire applicable à la branche professionnelle concernée et qui n’auraient pas été réalisées sans cette obligation réglementaire</w:t>
      </w:r>
      <w:r w:rsidR="00DC2F53">
        <w:rPr>
          <w:i/>
          <w:iCs/>
          <w:color w:val="000000" w:themeColor="text1"/>
        </w:rPr>
        <w:t xml:space="preserve"> : </w:t>
      </w:r>
      <w:r w:rsidR="00DC2F53" w:rsidRPr="00DC2F53">
        <w:t>Aménagements et équipements des terrasses et des espaces recevant des clients, achat ou location de barnum, équipements et matériels pour la prévention des gestes barrières non pris en charges par l’assurance maladie, signalétiques, y compris les logiciels et équipements informatique</w:t>
      </w:r>
      <w:r w:rsidR="005E3685">
        <w:t>s</w:t>
      </w:r>
      <w:r w:rsidR="00DC2F53" w:rsidRPr="00DC2F53">
        <w:t xml:space="preserve"> spécifiques de commande, </w:t>
      </w:r>
      <w:r w:rsidR="002B229C">
        <w:t xml:space="preserve">flash code, </w:t>
      </w:r>
      <w:r w:rsidR="00DC2F53" w:rsidRPr="00DC2F53">
        <w:t>gels, masques…</w:t>
      </w:r>
    </w:p>
    <w:p w14:paraId="7CF2ABD4" w14:textId="04E44DC5" w:rsidR="00CB3E94" w:rsidRPr="00CB3E94" w:rsidRDefault="00CB3E94" w:rsidP="00CB3E94">
      <w:pPr>
        <w:spacing w:after="0"/>
        <w:jc w:val="both"/>
        <w:rPr>
          <w:i/>
          <w:iCs/>
          <w:color w:val="000000" w:themeColor="text1"/>
        </w:rPr>
      </w:pPr>
    </w:p>
    <w:p w14:paraId="04B6EDAA" w14:textId="621D551A" w:rsidR="00CB3E94" w:rsidRPr="00CB3E94" w:rsidRDefault="00CB3E94" w:rsidP="00841A82">
      <w:pPr>
        <w:pStyle w:val="Default"/>
        <w:rPr>
          <w:rFonts w:asciiTheme="minorHAnsi" w:hAnsiTheme="minorHAnsi" w:cstheme="minorHAnsi"/>
          <w:b/>
          <w:bCs/>
          <w:i/>
          <w:iCs/>
          <w:sz w:val="22"/>
          <w:szCs w:val="22"/>
        </w:rPr>
      </w:pPr>
      <w:r w:rsidRPr="00841A82">
        <w:rPr>
          <w:rFonts w:asciiTheme="minorHAnsi" w:hAnsiTheme="minorHAnsi" w:cstheme="minorHAnsi"/>
          <w:b/>
          <w:bCs/>
          <w:i/>
          <w:iCs/>
          <w:color w:val="1F497D" w:themeColor="text2"/>
          <w:sz w:val="22"/>
          <w:szCs w:val="22"/>
          <w:u w:val="single"/>
        </w:rPr>
        <w:t>Dépenses prises en charge</w:t>
      </w:r>
      <w:r w:rsidR="00841A82" w:rsidRPr="00841A82">
        <w:rPr>
          <w:rFonts w:asciiTheme="minorHAnsi" w:hAnsiTheme="minorHAnsi" w:cstheme="minorHAnsi"/>
          <w:b/>
          <w:bCs/>
          <w:i/>
          <w:iCs/>
          <w:color w:val="1F497D" w:themeColor="text2"/>
          <w:sz w:val="22"/>
          <w:szCs w:val="22"/>
        </w:rPr>
        <w:t> </w:t>
      </w:r>
      <w:r w:rsidR="00841A82">
        <w:rPr>
          <w:rFonts w:asciiTheme="minorHAnsi" w:hAnsiTheme="minorHAnsi" w:cstheme="minorHAnsi"/>
          <w:b/>
          <w:bCs/>
          <w:i/>
          <w:iCs/>
          <w:sz w:val="22"/>
          <w:szCs w:val="22"/>
        </w:rPr>
        <w:t xml:space="preserve">: </w:t>
      </w:r>
      <w:r w:rsidR="00841A82" w:rsidRPr="00841A82">
        <w:rPr>
          <w:rFonts w:asciiTheme="minorHAnsi" w:hAnsiTheme="minorHAnsi" w:cstheme="minorHAnsi"/>
          <w:i/>
          <w:iCs/>
          <w:sz w:val="22"/>
          <w:szCs w:val="22"/>
        </w:rPr>
        <w:t xml:space="preserve">factures </w:t>
      </w:r>
      <w:r w:rsidRPr="00841A82">
        <w:rPr>
          <w:rFonts w:asciiTheme="minorHAnsi" w:hAnsiTheme="minorHAnsi" w:cstheme="minorHAnsi"/>
          <w:i/>
          <w:iCs/>
          <w:sz w:val="22"/>
          <w:szCs w:val="22"/>
        </w:rPr>
        <w:t>à partir du 20 avril 2020</w:t>
      </w:r>
      <w:r w:rsidR="002B229C">
        <w:rPr>
          <w:rFonts w:asciiTheme="minorHAnsi" w:hAnsiTheme="minorHAnsi" w:cstheme="minorHAnsi"/>
          <w:i/>
          <w:iCs/>
          <w:sz w:val="22"/>
          <w:szCs w:val="22"/>
        </w:rPr>
        <w:t xml:space="preserve"> jusqu’au 31 décembre 2021</w:t>
      </w:r>
    </w:p>
    <w:p w14:paraId="34720657" w14:textId="77777777" w:rsidR="00CB3E94" w:rsidRPr="00036632" w:rsidRDefault="00CB3E94" w:rsidP="00CB3E94">
      <w:pPr>
        <w:pStyle w:val="Default"/>
        <w:jc w:val="both"/>
        <w:rPr>
          <w:rFonts w:asciiTheme="minorHAnsi" w:hAnsiTheme="minorHAnsi" w:cstheme="minorHAnsi"/>
          <w:b/>
          <w:bCs/>
        </w:rPr>
      </w:pPr>
    </w:p>
    <w:p w14:paraId="450F49E4" w14:textId="0AAA25BE" w:rsidR="00831BE9" w:rsidRDefault="00CB3E94" w:rsidP="00831BE9">
      <w:pPr>
        <w:ind w:left="360"/>
        <w:jc w:val="both"/>
        <w:rPr>
          <w:i/>
          <w:iCs/>
          <w:color w:val="4F6228" w:themeColor="accent3" w:themeShade="80"/>
        </w:rPr>
      </w:pPr>
      <w:r w:rsidRPr="00CB3E94">
        <w:rPr>
          <w:color w:val="4F6228" w:themeColor="accent3" w:themeShade="80"/>
          <w:sz w:val="26"/>
          <w:szCs w:val="26"/>
        </w:rPr>
        <w:sym w:font="Webdings" w:char="F069"/>
      </w:r>
      <w:r w:rsidRPr="00CB3E94">
        <w:rPr>
          <w:i/>
          <w:iCs/>
          <w:color w:val="4F6228" w:themeColor="accent3" w:themeShade="80"/>
          <w:sz w:val="26"/>
          <w:szCs w:val="26"/>
        </w:rPr>
        <w:t xml:space="preserve"> </w:t>
      </w:r>
      <w:r w:rsidRPr="00CB3E94">
        <w:rPr>
          <w:i/>
          <w:iCs/>
          <w:color w:val="4F6228" w:themeColor="accent3" w:themeShade="80"/>
        </w:rPr>
        <w:t>Tableau récapitulatif des factures à joindre avec copies des factures acquittée</w:t>
      </w:r>
      <w:r w:rsidR="00831BE9">
        <w:rPr>
          <w:i/>
          <w:iCs/>
          <w:color w:val="4F6228" w:themeColor="accent3" w:themeShade="80"/>
        </w:rPr>
        <w:t>s + un relevé d’identité bancaire (RIB)</w:t>
      </w:r>
    </w:p>
    <w:p w14:paraId="5F545CB6" w14:textId="558C3B6E" w:rsidR="00831BE9" w:rsidRPr="00831BE9" w:rsidRDefault="00831BE9" w:rsidP="00831BE9">
      <w:pPr>
        <w:jc w:val="both"/>
        <w:rPr>
          <w:i/>
          <w:iCs/>
        </w:rPr>
      </w:pPr>
      <w:r w:rsidRPr="00831BE9">
        <w:rPr>
          <w:b/>
          <w:bCs/>
          <w:i/>
          <w:iCs/>
          <w:color w:val="1F497D" w:themeColor="text2"/>
          <w:u w:val="single"/>
        </w:rPr>
        <w:t>Montant de la subvention</w:t>
      </w:r>
      <w:r w:rsidRPr="00831BE9">
        <w:rPr>
          <w:b/>
          <w:bCs/>
          <w:i/>
          <w:iCs/>
          <w:color w:val="1F497D" w:themeColor="text2"/>
        </w:rPr>
        <w:t xml:space="preserve"> : </w:t>
      </w:r>
      <w:r w:rsidRPr="00831BE9">
        <w:rPr>
          <w:i/>
          <w:iCs/>
        </w:rPr>
        <w:t>50% des dépenses réalisées avec un plancher de dépenses fixé à 400€ HT pour une subvention maximum de 1000€.</w:t>
      </w:r>
    </w:p>
    <w:p w14:paraId="45C5928B" w14:textId="2E20A091" w:rsidR="00831BE9" w:rsidRDefault="00831BE9" w:rsidP="00831BE9">
      <w:pPr>
        <w:ind w:left="360"/>
        <w:jc w:val="both"/>
        <w:rPr>
          <w:i/>
          <w:iCs/>
          <w:color w:val="4F6228" w:themeColor="accent3" w:themeShade="80"/>
        </w:rPr>
      </w:pPr>
      <w:r w:rsidRPr="00CB3E94">
        <w:rPr>
          <w:color w:val="4F6228" w:themeColor="accent3" w:themeShade="80"/>
          <w:sz w:val="26"/>
          <w:szCs w:val="26"/>
        </w:rPr>
        <w:sym w:font="Webdings" w:char="F069"/>
      </w:r>
      <w:r w:rsidRPr="00CB3E94">
        <w:rPr>
          <w:i/>
          <w:iCs/>
          <w:color w:val="4F6228" w:themeColor="accent3" w:themeShade="80"/>
          <w:sz w:val="26"/>
          <w:szCs w:val="26"/>
        </w:rPr>
        <w:t xml:space="preserve"> </w:t>
      </w:r>
      <w:r>
        <w:rPr>
          <w:i/>
          <w:iCs/>
          <w:color w:val="4F6228" w:themeColor="accent3" w:themeShade="80"/>
        </w:rPr>
        <w:t xml:space="preserve">Si vous dépensez, avez dépensé ou allez dépenser au minimum 400€ HT d’équipements ou </w:t>
      </w:r>
      <w:r w:rsidR="00DC2F53">
        <w:rPr>
          <w:i/>
          <w:iCs/>
          <w:color w:val="4F6228" w:themeColor="accent3" w:themeShade="80"/>
        </w:rPr>
        <w:t>d’</w:t>
      </w:r>
      <w:r>
        <w:rPr>
          <w:i/>
          <w:iCs/>
          <w:color w:val="4F6228" w:themeColor="accent3" w:themeShade="80"/>
        </w:rPr>
        <w:t xml:space="preserve">aménagements liés au Covid19, vous recevrez 200€ de la communauté de communes (50%) </w:t>
      </w:r>
    </w:p>
    <w:p w14:paraId="34BCB56A" w14:textId="7D0CB333" w:rsidR="00DC2F53" w:rsidRDefault="00DC2F53" w:rsidP="00DC2F53">
      <w:pPr>
        <w:ind w:left="360"/>
        <w:jc w:val="both"/>
        <w:rPr>
          <w:i/>
          <w:iCs/>
          <w:color w:val="4F6228" w:themeColor="accent3" w:themeShade="80"/>
        </w:rPr>
      </w:pPr>
      <w:r>
        <w:rPr>
          <w:i/>
          <w:iCs/>
          <w:color w:val="4F6228" w:themeColor="accent3" w:themeShade="80"/>
        </w:rPr>
        <w:t>Si vous dépensez 2 000€ HT, vous recevrez 1000€ (plafond atteint) – Donc si vous dépensez 2500€ ou plus, vous recevrez 1000€ (plafond)</w:t>
      </w:r>
    </w:p>
    <w:p w14:paraId="627BCADC" w14:textId="10FCA291" w:rsidR="00DC2F53" w:rsidRDefault="00DC2F53" w:rsidP="00DC2F53">
      <w:pPr>
        <w:pStyle w:val="xmsolistparagraph"/>
        <w:ind w:left="0"/>
        <w:rPr>
          <w:rFonts w:asciiTheme="minorHAnsi" w:hAnsiTheme="minorHAnsi" w:cstheme="minorHAnsi"/>
          <w:sz w:val="22"/>
          <w:szCs w:val="22"/>
        </w:rPr>
      </w:pPr>
      <w:r w:rsidRPr="008701AA">
        <w:rPr>
          <w:rFonts w:asciiTheme="minorHAnsi" w:hAnsiTheme="minorHAnsi" w:cstheme="minorHAnsi"/>
          <w:b/>
          <w:bCs/>
          <w:i/>
          <w:iCs/>
          <w:color w:val="1F497D" w:themeColor="text2"/>
          <w:sz w:val="22"/>
          <w:szCs w:val="22"/>
          <w:u w:val="single"/>
        </w:rPr>
        <w:lastRenderedPageBreak/>
        <w:t>Exclusions/restrictions</w:t>
      </w:r>
      <w:r w:rsidRPr="00DC2F53">
        <w:rPr>
          <w:b/>
          <w:bCs/>
          <w:i/>
          <w:iCs/>
          <w:color w:val="1F497D" w:themeColor="text2"/>
          <w:sz w:val="22"/>
          <w:szCs w:val="22"/>
        </w:rPr>
        <w:t xml:space="preserve"> : </w:t>
      </w:r>
      <w:r>
        <w:rPr>
          <w:b/>
          <w:bCs/>
          <w:i/>
          <w:iCs/>
          <w:color w:val="1F497D" w:themeColor="text2"/>
          <w:sz w:val="22"/>
          <w:szCs w:val="22"/>
        </w:rPr>
        <w:t xml:space="preserve">- </w:t>
      </w:r>
      <w:r w:rsidRPr="00DC2F53">
        <w:rPr>
          <w:rFonts w:asciiTheme="minorHAnsi" w:hAnsiTheme="minorHAnsi" w:cstheme="minorHAnsi"/>
          <w:sz w:val="22"/>
          <w:szCs w:val="22"/>
        </w:rPr>
        <w:t xml:space="preserve">Les dépenses ayant déjà été prises en charge à hauteur de 50% par l’assurance maladie dans le cadre de la subvention « prévention Covid » </w:t>
      </w:r>
      <w:r w:rsidR="008701AA">
        <w:rPr>
          <w:rFonts w:asciiTheme="minorHAnsi" w:hAnsiTheme="minorHAnsi" w:cstheme="minorHAnsi"/>
          <w:sz w:val="22"/>
          <w:szCs w:val="22"/>
        </w:rPr>
        <w:t>(non cumul des subventions</w:t>
      </w:r>
      <w:r w:rsidR="005E3685">
        <w:rPr>
          <w:rFonts w:asciiTheme="minorHAnsi" w:hAnsiTheme="minorHAnsi" w:cstheme="minorHAnsi"/>
          <w:sz w:val="22"/>
          <w:szCs w:val="22"/>
        </w:rPr>
        <w:t xml:space="preserve"> – voir attestation sur l’honneur</w:t>
      </w:r>
      <w:r w:rsidR="008701AA">
        <w:rPr>
          <w:rFonts w:asciiTheme="minorHAnsi" w:hAnsiTheme="minorHAnsi" w:cstheme="minorHAnsi"/>
          <w:sz w:val="22"/>
          <w:szCs w:val="22"/>
        </w:rPr>
        <w:t>)</w:t>
      </w:r>
    </w:p>
    <w:p w14:paraId="0AC25629" w14:textId="032E2246" w:rsidR="00CB3E94" w:rsidRPr="008701AA" w:rsidRDefault="00DC2F53" w:rsidP="00CB3E94">
      <w:pPr>
        <w:pStyle w:val="xmsolistparagraph"/>
        <w:numPr>
          <w:ilvl w:val="0"/>
          <w:numId w:val="11"/>
        </w:numPr>
        <w:rPr>
          <w:rFonts w:asciiTheme="minorHAnsi" w:hAnsiTheme="minorHAnsi" w:cstheme="minorHAnsi"/>
          <w:sz w:val="22"/>
          <w:szCs w:val="22"/>
        </w:rPr>
      </w:pPr>
      <w:r w:rsidRPr="00DC2F53">
        <w:rPr>
          <w:rFonts w:asciiTheme="minorHAnsi" w:hAnsiTheme="minorHAnsi" w:cstheme="minorHAnsi"/>
          <w:color w:val="000000" w:themeColor="text1"/>
          <w:sz w:val="22"/>
          <w:szCs w:val="22"/>
        </w:rPr>
        <w:t>Les dépenses ayant déjà été prises en charge par le dispositif PASS Commerce Artisanat, partenarial entre l’EPCI et la Région Bretagne</w:t>
      </w:r>
    </w:p>
    <w:p w14:paraId="1BE5794D" w14:textId="77777777" w:rsidR="008701AA" w:rsidRPr="008701AA" w:rsidRDefault="008701AA" w:rsidP="008701AA">
      <w:pPr>
        <w:pStyle w:val="xmsolistparagraph"/>
        <w:rPr>
          <w:rFonts w:asciiTheme="minorHAnsi" w:hAnsiTheme="minorHAnsi" w:cstheme="minorHAnsi"/>
          <w:sz w:val="22"/>
          <w:szCs w:val="22"/>
        </w:rPr>
      </w:pPr>
    </w:p>
    <w:p w14:paraId="06CFC8D2" w14:textId="1ABA5CF6" w:rsidR="00AC53F9" w:rsidRDefault="00CB3E94" w:rsidP="008701AA">
      <w:pPr>
        <w:rPr>
          <w:b/>
          <w:bCs/>
          <w:i/>
          <w:iCs/>
          <w:color w:val="1F497D" w:themeColor="text2"/>
        </w:rPr>
      </w:pPr>
      <w:r w:rsidRPr="008701AA">
        <w:rPr>
          <w:b/>
          <w:bCs/>
          <w:i/>
          <w:iCs/>
          <w:color w:val="1F497D" w:themeColor="text2"/>
          <w:u w:val="single"/>
        </w:rPr>
        <w:t>Date limite de dépôt de la demande de subvention</w:t>
      </w:r>
      <w:r w:rsidRPr="00CB3E94">
        <w:t xml:space="preserve"> : </w:t>
      </w:r>
      <w:r w:rsidR="002E2629">
        <w:t>31</w:t>
      </w:r>
      <w:r w:rsidRPr="00CB3E94">
        <w:t xml:space="preserve"> </w:t>
      </w:r>
      <w:r w:rsidR="009A33AA">
        <w:t>décembre</w:t>
      </w:r>
      <w:r w:rsidRPr="00CB3E94">
        <w:t xml:space="preserve"> 202</w:t>
      </w:r>
      <w:r w:rsidR="009A33AA">
        <w:t>1</w:t>
      </w:r>
    </w:p>
    <w:p w14:paraId="30357366" w14:textId="4E2AEBD1" w:rsidR="008701AA" w:rsidRDefault="008701AA" w:rsidP="008701AA">
      <w:pPr>
        <w:rPr>
          <w:rFonts w:cstheme="minorHAnsi"/>
          <w:b/>
          <w:bCs/>
          <w:i/>
          <w:iCs/>
          <w:color w:val="1F497D" w:themeColor="text2"/>
        </w:rPr>
      </w:pPr>
      <w:r w:rsidRPr="008701AA">
        <w:rPr>
          <w:b/>
          <w:bCs/>
          <w:i/>
          <w:iCs/>
          <w:color w:val="1F497D" w:themeColor="text2"/>
          <w:u w:val="single"/>
        </w:rPr>
        <w:t>Modalité de dépôt</w:t>
      </w:r>
      <w:r>
        <w:rPr>
          <w:b/>
          <w:bCs/>
          <w:i/>
          <w:iCs/>
          <w:color w:val="1F497D" w:themeColor="text2"/>
        </w:rPr>
        <w:t xml:space="preserve"> : par mail à l’adresse </w:t>
      </w:r>
      <w:hyperlink r:id="rId8" w:history="1">
        <w:r w:rsidRPr="00CE4BDA">
          <w:rPr>
            <w:rStyle w:val="Lienhypertexte"/>
            <w:b/>
            <w:bCs/>
            <w:i/>
            <w:iCs/>
          </w:rPr>
          <w:t>economie</w:t>
        </w:r>
        <w:r w:rsidRPr="00CE4BDA">
          <w:rPr>
            <w:rStyle w:val="Lienhypertexte"/>
            <w:rFonts w:cstheme="minorHAnsi"/>
            <w:b/>
            <w:bCs/>
            <w:i/>
            <w:iCs/>
          </w:rPr>
          <w:t>@comcom-crozon.bzh</w:t>
        </w:r>
      </w:hyperlink>
      <w:r>
        <w:rPr>
          <w:rFonts w:cstheme="minorHAnsi"/>
          <w:b/>
          <w:bCs/>
          <w:i/>
          <w:iCs/>
          <w:color w:val="1F497D" w:themeColor="text2"/>
        </w:rPr>
        <w:t xml:space="preserve"> ou par courrier à l’adresse du </w:t>
      </w:r>
      <w:r w:rsidR="005E3685">
        <w:rPr>
          <w:rFonts w:cstheme="minorHAnsi"/>
          <w:b/>
          <w:bCs/>
          <w:i/>
          <w:iCs/>
          <w:color w:val="1F497D" w:themeColor="text2"/>
        </w:rPr>
        <w:t>P</w:t>
      </w:r>
      <w:r>
        <w:rPr>
          <w:rFonts w:cstheme="minorHAnsi"/>
          <w:b/>
          <w:bCs/>
          <w:i/>
          <w:iCs/>
          <w:color w:val="1F497D" w:themeColor="text2"/>
        </w:rPr>
        <w:t xml:space="preserve">résident de la communauté de communes – service économie - ZA de </w:t>
      </w:r>
      <w:proofErr w:type="spellStart"/>
      <w:r>
        <w:rPr>
          <w:rFonts w:cstheme="minorHAnsi"/>
          <w:b/>
          <w:bCs/>
          <w:i/>
          <w:iCs/>
          <w:color w:val="1F497D" w:themeColor="text2"/>
        </w:rPr>
        <w:t>Kerdanvez</w:t>
      </w:r>
      <w:proofErr w:type="spellEnd"/>
      <w:r>
        <w:rPr>
          <w:rFonts w:cstheme="minorHAnsi"/>
          <w:b/>
          <w:bCs/>
          <w:i/>
          <w:iCs/>
          <w:color w:val="1F497D" w:themeColor="text2"/>
        </w:rPr>
        <w:t xml:space="preserve"> – BP 25 – 29160 CROZON</w:t>
      </w:r>
    </w:p>
    <w:p w14:paraId="764E618A" w14:textId="245B0EF4" w:rsidR="008701AA" w:rsidRDefault="008701AA" w:rsidP="008701AA">
      <w:pPr>
        <w:rPr>
          <w:rFonts w:cstheme="minorHAnsi"/>
          <w:b/>
          <w:bCs/>
          <w:i/>
          <w:iCs/>
          <w:color w:val="1F497D" w:themeColor="text2"/>
        </w:rPr>
      </w:pPr>
      <w:r>
        <w:rPr>
          <w:rFonts w:cstheme="minorHAnsi"/>
          <w:b/>
          <w:bCs/>
          <w:i/>
          <w:iCs/>
          <w:color w:val="1F497D" w:themeColor="text2"/>
        </w:rPr>
        <w:t xml:space="preserve">Renseignement : Armelle </w:t>
      </w:r>
      <w:proofErr w:type="spellStart"/>
      <w:r>
        <w:rPr>
          <w:rFonts w:cstheme="minorHAnsi"/>
          <w:b/>
          <w:bCs/>
          <w:i/>
          <w:iCs/>
          <w:color w:val="1F497D" w:themeColor="text2"/>
        </w:rPr>
        <w:t>Prigent-Lemétais</w:t>
      </w:r>
      <w:proofErr w:type="spellEnd"/>
      <w:r>
        <w:rPr>
          <w:rFonts w:cstheme="minorHAnsi"/>
          <w:b/>
          <w:bCs/>
          <w:i/>
          <w:iCs/>
          <w:color w:val="1F497D" w:themeColor="text2"/>
        </w:rPr>
        <w:t xml:space="preserve"> : service économie : </w:t>
      </w:r>
      <w:r w:rsidR="009A33AA">
        <w:rPr>
          <w:rFonts w:cstheme="minorHAnsi"/>
          <w:b/>
          <w:bCs/>
          <w:i/>
          <w:iCs/>
          <w:color w:val="1F497D" w:themeColor="text2"/>
        </w:rPr>
        <w:t>02 98 27 24 76</w:t>
      </w:r>
    </w:p>
    <w:p w14:paraId="21EA610F" w14:textId="379A2F07" w:rsidR="005E3685" w:rsidRDefault="005E3685" w:rsidP="008701AA">
      <w:pPr>
        <w:rPr>
          <w:rFonts w:cstheme="minorHAnsi"/>
          <w:b/>
          <w:bCs/>
          <w:i/>
          <w:iCs/>
          <w:color w:val="1F497D" w:themeColor="text2"/>
        </w:rPr>
      </w:pPr>
    </w:p>
    <w:p w14:paraId="6529E396" w14:textId="130CCE8E" w:rsidR="005E3685" w:rsidRDefault="005E3685" w:rsidP="008701AA">
      <w:pPr>
        <w:rPr>
          <w:rFonts w:cstheme="minorHAnsi"/>
          <w:b/>
          <w:bCs/>
          <w:i/>
          <w:iCs/>
          <w:color w:val="1F497D" w:themeColor="text2"/>
        </w:rPr>
      </w:pPr>
    </w:p>
    <w:p w14:paraId="6D5CE7FD" w14:textId="203CBCEA" w:rsidR="005E3685" w:rsidRDefault="005E3685" w:rsidP="008701AA">
      <w:pPr>
        <w:rPr>
          <w:rFonts w:cstheme="minorHAnsi"/>
          <w:b/>
          <w:bCs/>
          <w:i/>
          <w:iCs/>
          <w:color w:val="1F497D" w:themeColor="text2"/>
        </w:rPr>
      </w:pPr>
    </w:p>
    <w:p w14:paraId="552814FA" w14:textId="7DB9AEF5" w:rsidR="005E3685" w:rsidRDefault="005E3685" w:rsidP="008701AA">
      <w:pPr>
        <w:rPr>
          <w:rFonts w:cstheme="minorHAnsi"/>
          <w:b/>
          <w:bCs/>
          <w:i/>
          <w:iCs/>
          <w:color w:val="1F497D" w:themeColor="text2"/>
        </w:rPr>
      </w:pPr>
    </w:p>
    <w:p w14:paraId="5779DBAC" w14:textId="78ED3A43" w:rsidR="005E3685" w:rsidRDefault="005E3685" w:rsidP="008701AA">
      <w:pPr>
        <w:rPr>
          <w:rFonts w:cstheme="minorHAnsi"/>
          <w:b/>
          <w:bCs/>
          <w:i/>
          <w:iCs/>
          <w:color w:val="1F497D" w:themeColor="text2"/>
        </w:rPr>
      </w:pPr>
    </w:p>
    <w:p w14:paraId="3FE101F1" w14:textId="36146014" w:rsidR="005E3685" w:rsidRDefault="005E3685" w:rsidP="008701AA">
      <w:pPr>
        <w:rPr>
          <w:rFonts w:cstheme="minorHAnsi"/>
          <w:b/>
          <w:bCs/>
          <w:i/>
          <w:iCs/>
          <w:color w:val="1F497D" w:themeColor="text2"/>
        </w:rPr>
      </w:pPr>
    </w:p>
    <w:p w14:paraId="46B6BDD3" w14:textId="6B9D2A55" w:rsidR="005E3685" w:rsidRDefault="005E3685" w:rsidP="008701AA">
      <w:pPr>
        <w:rPr>
          <w:rFonts w:cstheme="minorHAnsi"/>
          <w:b/>
          <w:bCs/>
          <w:i/>
          <w:iCs/>
          <w:color w:val="1F497D" w:themeColor="text2"/>
        </w:rPr>
      </w:pPr>
    </w:p>
    <w:p w14:paraId="076DE130" w14:textId="1D64ADE7" w:rsidR="005E3685" w:rsidRDefault="005E3685" w:rsidP="008701AA">
      <w:pPr>
        <w:rPr>
          <w:rFonts w:cstheme="minorHAnsi"/>
          <w:b/>
          <w:bCs/>
          <w:i/>
          <w:iCs/>
          <w:color w:val="1F497D" w:themeColor="text2"/>
        </w:rPr>
      </w:pPr>
    </w:p>
    <w:p w14:paraId="3A704AFD" w14:textId="00F99E1C" w:rsidR="005E3685" w:rsidRDefault="005E3685" w:rsidP="008701AA">
      <w:pPr>
        <w:rPr>
          <w:rFonts w:cstheme="minorHAnsi"/>
          <w:b/>
          <w:bCs/>
          <w:i/>
          <w:iCs/>
          <w:color w:val="1F497D" w:themeColor="text2"/>
        </w:rPr>
      </w:pPr>
    </w:p>
    <w:p w14:paraId="0333559E" w14:textId="63683FC7" w:rsidR="005E3685" w:rsidRDefault="005E3685" w:rsidP="008701AA">
      <w:pPr>
        <w:rPr>
          <w:rFonts w:cstheme="minorHAnsi"/>
          <w:b/>
          <w:bCs/>
          <w:i/>
          <w:iCs/>
          <w:color w:val="1F497D" w:themeColor="text2"/>
        </w:rPr>
      </w:pPr>
    </w:p>
    <w:p w14:paraId="31638F2B" w14:textId="537835FE" w:rsidR="005E3685" w:rsidRDefault="005E3685" w:rsidP="008701AA">
      <w:pPr>
        <w:rPr>
          <w:rFonts w:cstheme="minorHAnsi"/>
          <w:b/>
          <w:bCs/>
          <w:i/>
          <w:iCs/>
          <w:color w:val="1F497D" w:themeColor="text2"/>
        </w:rPr>
      </w:pPr>
    </w:p>
    <w:p w14:paraId="45BC3527" w14:textId="604FF7E0" w:rsidR="005E3685" w:rsidRDefault="005E3685" w:rsidP="008701AA">
      <w:pPr>
        <w:rPr>
          <w:rFonts w:cstheme="minorHAnsi"/>
          <w:b/>
          <w:bCs/>
          <w:i/>
          <w:iCs/>
          <w:color w:val="1F497D" w:themeColor="text2"/>
        </w:rPr>
      </w:pPr>
    </w:p>
    <w:p w14:paraId="76E53CFD" w14:textId="77777777" w:rsidR="005E3685" w:rsidRPr="008701AA" w:rsidRDefault="005E3685" w:rsidP="008701AA">
      <w:pPr>
        <w:rPr>
          <w:b/>
          <w:bCs/>
          <w:i/>
          <w:iCs/>
          <w:color w:val="1F497D" w:themeColor="text2"/>
        </w:rPr>
      </w:pPr>
    </w:p>
    <w:p w14:paraId="1320452D" w14:textId="77777777" w:rsidR="00AC2124" w:rsidRDefault="00AC2124" w:rsidP="00AC2124">
      <w:pPr>
        <w:rPr>
          <w:b/>
          <w:bCs/>
        </w:rPr>
      </w:pPr>
    </w:p>
    <w:p w14:paraId="465F3BAE" w14:textId="77777777" w:rsidR="005E3685" w:rsidRPr="00723072" w:rsidRDefault="005E3685" w:rsidP="00723072">
      <w:pPr>
        <w:tabs>
          <w:tab w:val="left" w:pos="5812"/>
        </w:tabs>
        <w:spacing w:after="0"/>
        <w:ind w:left="5812"/>
        <w:rPr>
          <w:sz w:val="24"/>
          <w:szCs w:val="24"/>
        </w:rPr>
      </w:pPr>
    </w:p>
    <w:sectPr w:rsidR="005E3685" w:rsidRPr="00723072" w:rsidSect="005E3685">
      <w:headerReference w:type="default" r:id="rId9"/>
      <w:footerReference w:type="default" r:id="rId10"/>
      <w:pgSz w:w="11906" w:h="16838"/>
      <w:pgMar w:top="2127" w:right="1417" w:bottom="1417" w:left="1134" w:header="284" w:footer="1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BFE4" w14:textId="77777777" w:rsidR="005202FD" w:rsidRDefault="005202FD" w:rsidP="00FE7AEA">
      <w:pPr>
        <w:spacing w:after="0" w:line="240" w:lineRule="auto"/>
      </w:pPr>
      <w:r>
        <w:separator/>
      </w:r>
    </w:p>
  </w:endnote>
  <w:endnote w:type="continuationSeparator" w:id="0">
    <w:p w14:paraId="5B691A22" w14:textId="77777777" w:rsidR="005202FD" w:rsidRDefault="005202FD" w:rsidP="00FE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E81B" w14:textId="77777777" w:rsidR="00FE7AEA" w:rsidRDefault="00470989">
    <w:pPr>
      <w:pStyle w:val="Pieddepage"/>
    </w:pPr>
    <w:r>
      <w:rPr>
        <w:noProof/>
        <w:lang w:eastAsia="fr-FR"/>
      </w:rPr>
      <w:drawing>
        <wp:anchor distT="0" distB="0" distL="114300" distR="114300" simplePos="0" relativeHeight="251658240" behindDoc="0" locked="0" layoutInCell="1" allowOverlap="1" wp14:anchorId="5C35C2D0" wp14:editId="157F8F11">
          <wp:simplePos x="0" y="0"/>
          <wp:positionH relativeFrom="margin">
            <wp:posOffset>-637540</wp:posOffset>
          </wp:positionH>
          <wp:positionV relativeFrom="margin">
            <wp:posOffset>8564245</wp:posOffset>
          </wp:positionV>
          <wp:extent cx="7591425" cy="824230"/>
          <wp:effectExtent l="0" t="0" r="9525"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 bas courrier2.JPG"/>
                  <pic:cNvPicPr/>
                </pic:nvPicPr>
                <pic:blipFill>
                  <a:blip r:embed="rId1">
                    <a:extLst>
                      <a:ext uri="{28A0092B-C50C-407E-A947-70E740481C1C}">
                        <a14:useLocalDpi xmlns:a14="http://schemas.microsoft.com/office/drawing/2010/main" val="0"/>
                      </a:ext>
                    </a:extLst>
                  </a:blip>
                  <a:stretch>
                    <a:fillRect/>
                  </a:stretch>
                </pic:blipFill>
                <pic:spPr>
                  <a:xfrm>
                    <a:off x="0" y="0"/>
                    <a:ext cx="7591425" cy="824230"/>
                  </a:xfrm>
                  <a:prstGeom prst="rect">
                    <a:avLst/>
                  </a:prstGeom>
                </pic:spPr>
              </pic:pic>
            </a:graphicData>
          </a:graphic>
          <wp14:sizeRelH relativeFrom="margin">
            <wp14:pctWidth>0</wp14:pctWidth>
          </wp14:sizeRelH>
          <wp14:sizeRelV relativeFrom="margin">
            <wp14:pctHeight>0</wp14:pctHeight>
          </wp14:sizeRelV>
        </wp:anchor>
      </w:drawing>
    </w:r>
  </w:p>
  <w:p w14:paraId="4FDA16F2" w14:textId="77777777" w:rsidR="00FE7AEA" w:rsidRDefault="00FE7A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4423" w14:textId="77777777" w:rsidR="005202FD" w:rsidRDefault="005202FD" w:rsidP="00FE7AEA">
      <w:pPr>
        <w:spacing w:after="0" w:line="240" w:lineRule="auto"/>
      </w:pPr>
      <w:r>
        <w:separator/>
      </w:r>
    </w:p>
  </w:footnote>
  <w:footnote w:type="continuationSeparator" w:id="0">
    <w:p w14:paraId="110E7AE1" w14:textId="77777777" w:rsidR="005202FD" w:rsidRDefault="005202FD" w:rsidP="00FE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E278" w14:textId="670B7EC6" w:rsidR="00AC2124" w:rsidRPr="00AC2124" w:rsidRDefault="00AC2124" w:rsidP="00AC2124">
    <w:pPr>
      <w:ind w:left="5670"/>
      <w:rPr>
        <w:b/>
        <w:bCs/>
        <w:sz w:val="24"/>
        <w:szCs w:val="24"/>
      </w:rPr>
    </w:pPr>
    <w:r>
      <w:rPr>
        <w:noProof/>
        <w:lang w:eastAsia="fr-FR"/>
      </w:rPr>
      <w:drawing>
        <wp:anchor distT="0" distB="0" distL="114300" distR="114300" simplePos="0" relativeHeight="251659264" behindDoc="0" locked="0" layoutInCell="1" allowOverlap="1" wp14:anchorId="5998E28D" wp14:editId="3E30056F">
          <wp:simplePos x="0" y="0"/>
          <wp:positionH relativeFrom="margin">
            <wp:posOffset>-173355</wp:posOffset>
          </wp:positionH>
          <wp:positionV relativeFrom="margin">
            <wp:posOffset>-1405255</wp:posOffset>
          </wp:positionV>
          <wp:extent cx="2432685" cy="1228725"/>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PDC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685" cy="1228725"/>
                  </a:xfrm>
                  <a:prstGeom prst="rect">
                    <a:avLst/>
                  </a:prstGeom>
                </pic:spPr>
              </pic:pic>
            </a:graphicData>
          </a:graphic>
          <wp14:sizeRelH relativeFrom="margin">
            <wp14:pctWidth>0</wp14:pctWidth>
          </wp14:sizeRelH>
          <wp14:sizeRelV relativeFrom="margin">
            <wp14:pctHeight>0</wp14:pctHeight>
          </wp14:sizeRelV>
        </wp:anchor>
      </w:drawing>
    </w:r>
  </w:p>
  <w:p w14:paraId="1C82BA88" w14:textId="7D612976" w:rsidR="00FE7AEA" w:rsidRPr="005E3685" w:rsidRDefault="005E3685" w:rsidP="005E3685">
    <w:pPr>
      <w:pStyle w:val="En-tte"/>
      <w:jc w:val="right"/>
      <w:rPr>
        <w:b/>
        <w:bCs/>
        <w:sz w:val="28"/>
        <w:szCs w:val="28"/>
      </w:rPr>
    </w:pPr>
    <w:r w:rsidRPr="005E3685">
      <w:rPr>
        <w:b/>
        <w:bCs/>
        <w:sz w:val="28"/>
        <w:szCs w:val="28"/>
      </w:rPr>
      <w:t xml:space="preserve">Information préalable à lire avant de déposer </w:t>
    </w:r>
    <w:r>
      <w:rPr>
        <w:b/>
        <w:bCs/>
        <w:sz w:val="28"/>
        <w:szCs w:val="28"/>
      </w:rPr>
      <w:t>la</w:t>
    </w:r>
    <w:r w:rsidRPr="005E3685">
      <w:rPr>
        <w:b/>
        <w:bCs/>
        <w:sz w:val="28"/>
        <w:szCs w:val="28"/>
      </w:rPr>
      <w:t xml:space="preserve"> demande de subvention communautaire : </w:t>
    </w:r>
    <w:r>
      <w:rPr>
        <w:b/>
        <w:bCs/>
        <w:sz w:val="28"/>
        <w:szCs w:val="28"/>
      </w:rPr>
      <w:t>pouvez-vous en bénéficier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6D1"/>
    <w:multiLevelType w:val="hybridMultilevel"/>
    <w:tmpl w:val="3782EACA"/>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CD09EE"/>
    <w:multiLevelType w:val="hybridMultilevel"/>
    <w:tmpl w:val="13446948"/>
    <w:lvl w:ilvl="0" w:tplc="3146D9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722BD"/>
    <w:multiLevelType w:val="hybridMultilevel"/>
    <w:tmpl w:val="E7E009B6"/>
    <w:lvl w:ilvl="0" w:tplc="F432B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A528E"/>
    <w:multiLevelType w:val="hybridMultilevel"/>
    <w:tmpl w:val="D156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64E17"/>
    <w:multiLevelType w:val="hybridMultilevel"/>
    <w:tmpl w:val="CB9E2AEA"/>
    <w:lvl w:ilvl="0" w:tplc="C6C4EC86">
      <w:numFmt w:val="bullet"/>
      <w:lvlText w:val="-"/>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CC1394"/>
    <w:multiLevelType w:val="hybridMultilevel"/>
    <w:tmpl w:val="B4467932"/>
    <w:lvl w:ilvl="0" w:tplc="CC0ED2EE">
      <w:start w:val="13"/>
      <w:numFmt w:val="bullet"/>
      <w:lvlText w:val="-"/>
      <w:lvlJc w:val="left"/>
      <w:pPr>
        <w:ind w:left="720" w:hanging="360"/>
      </w:pPr>
      <w:rPr>
        <w:rFonts w:ascii="Poppins Light" w:eastAsiaTheme="minorHAnsi" w:hAnsi="Poppins Light" w:cs="Poppi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316EBA"/>
    <w:multiLevelType w:val="hybridMultilevel"/>
    <w:tmpl w:val="473AE84E"/>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E3FEC"/>
    <w:multiLevelType w:val="multilevel"/>
    <w:tmpl w:val="21D6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3806FD"/>
    <w:multiLevelType w:val="multilevel"/>
    <w:tmpl w:val="993C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699"/>
    <w:multiLevelType w:val="hybridMultilevel"/>
    <w:tmpl w:val="AE88491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15:restartNumberingAfterBreak="0">
    <w:nsid w:val="78093863"/>
    <w:multiLevelType w:val="hybridMultilevel"/>
    <w:tmpl w:val="E05822F8"/>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9"/>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EA"/>
    <w:rsid w:val="00037447"/>
    <w:rsid w:val="00043787"/>
    <w:rsid w:val="0012558F"/>
    <w:rsid w:val="0018781A"/>
    <w:rsid w:val="002072FB"/>
    <w:rsid w:val="002371BD"/>
    <w:rsid w:val="00274271"/>
    <w:rsid w:val="002B229C"/>
    <w:rsid w:val="002C33D4"/>
    <w:rsid w:val="002E2629"/>
    <w:rsid w:val="003D7F81"/>
    <w:rsid w:val="00403E47"/>
    <w:rsid w:val="00447769"/>
    <w:rsid w:val="00470989"/>
    <w:rsid w:val="0048184F"/>
    <w:rsid w:val="004B2ADC"/>
    <w:rsid w:val="004B63BE"/>
    <w:rsid w:val="005202FD"/>
    <w:rsid w:val="0057260B"/>
    <w:rsid w:val="005E3685"/>
    <w:rsid w:val="006277D6"/>
    <w:rsid w:val="00665A44"/>
    <w:rsid w:val="0066796F"/>
    <w:rsid w:val="006916DD"/>
    <w:rsid w:val="0069791F"/>
    <w:rsid w:val="006D4B79"/>
    <w:rsid w:val="006E2E49"/>
    <w:rsid w:val="00723072"/>
    <w:rsid w:val="007272F4"/>
    <w:rsid w:val="00731CDD"/>
    <w:rsid w:val="007F31DB"/>
    <w:rsid w:val="00831BE9"/>
    <w:rsid w:val="00841A82"/>
    <w:rsid w:val="008442EB"/>
    <w:rsid w:val="008701AA"/>
    <w:rsid w:val="008811AB"/>
    <w:rsid w:val="00893361"/>
    <w:rsid w:val="008A3AC2"/>
    <w:rsid w:val="008F78FB"/>
    <w:rsid w:val="00910DA3"/>
    <w:rsid w:val="00994A5A"/>
    <w:rsid w:val="009A33AA"/>
    <w:rsid w:val="00AC2124"/>
    <w:rsid w:val="00AC2BF9"/>
    <w:rsid w:val="00AC53F9"/>
    <w:rsid w:val="00B42BA4"/>
    <w:rsid w:val="00B45ADA"/>
    <w:rsid w:val="00B716AE"/>
    <w:rsid w:val="00C05499"/>
    <w:rsid w:val="00C10228"/>
    <w:rsid w:val="00C53722"/>
    <w:rsid w:val="00C54028"/>
    <w:rsid w:val="00C57834"/>
    <w:rsid w:val="00C72D37"/>
    <w:rsid w:val="00C75986"/>
    <w:rsid w:val="00C85EF7"/>
    <w:rsid w:val="00CB3E94"/>
    <w:rsid w:val="00D00CBF"/>
    <w:rsid w:val="00D86C92"/>
    <w:rsid w:val="00DC2F53"/>
    <w:rsid w:val="00E716E8"/>
    <w:rsid w:val="00ED6F69"/>
    <w:rsid w:val="00EE49EF"/>
    <w:rsid w:val="00F157EB"/>
    <w:rsid w:val="00F53ABB"/>
    <w:rsid w:val="00FE7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412E4"/>
  <w15:docId w15:val="{9B01C3FD-85FD-4C39-85A8-E2D13704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2C33D4"/>
    <w:pPr>
      <w:spacing w:after="0"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AEA"/>
    <w:rPr>
      <w:rFonts w:ascii="Tahoma" w:hAnsi="Tahoma" w:cs="Tahoma"/>
      <w:sz w:val="16"/>
      <w:szCs w:val="16"/>
    </w:rPr>
  </w:style>
  <w:style w:type="paragraph" w:styleId="En-tte">
    <w:name w:val="header"/>
    <w:basedOn w:val="Normal"/>
    <w:link w:val="En-tteCar"/>
    <w:uiPriority w:val="99"/>
    <w:unhideWhenUsed/>
    <w:rsid w:val="00FE7AEA"/>
    <w:pPr>
      <w:tabs>
        <w:tab w:val="center" w:pos="4536"/>
        <w:tab w:val="right" w:pos="9072"/>
      </w:tabs>
      <w:spacing w:after="0" w:line="240" w:lineRule="auto"/>
    </w:pPr>
  </w:style>
  <w:style w:type="character" w:customStyle="1" w:styleId="En-tteCar">
    <w:name w:val="En-tête Car"/>
    <w:basedOn w:val="Policepardfaut"/>
    <w:link w:val="En-tte"/>
    <w:uiPriority w:val="99"/>
    <w:rsid w:val="00FE7AEA"/>
  </w:style>
  <w:style w:type="paragraph" w:styleId="Pieddepage">
    <w:name w:val="footer"/>
    <w:basedOn w:val="Normal"/>
    <w:link w:val="PieddepageCar"/>
    <w:uiPriority w:val="99"/>
    <w:unhideWhenUsed/>
    <w:rsid w:val="00FE7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AEA"/>
  </w:style>
  <w:style w:type="character" w:customStyle="1" w:styleId="A19">
    <w:name w:val="A19"/>
    <w:uiPriority w:val="99"/>
    <w:rsid w:val="00470989"/>
    <w:rPr>
      <w:rFonts w:cs="Futura Light"/>
      <w:color w:val="000000"/>
      <w:sz w:val="10"/>
      <w:szCs w:val="10"/>
    </w:rPr>
  </w:style>
  <w:style w:type="character" w:customStyle="1" w:styleId="Titre4Car">
    <w:name w:val="Titre 4 Car"/>
    <w:basedOn w:val="Policepardfaut"/>
    <w:link w:val="Titre4"/>
    <w:uiPriority w:val="9"/>
    <w:rsid w:val="002C33D4"/>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C33D4"/>
    <w:rPr>
      <w:b/>
      <w:bCs/>
    </w:rPr>
  </w:style>
  <w:style w:type="character" w:customStyle="1" w:styleId="text-base1">
    <w:name w:val="text-base1"/>
    <w:basedOn w:val="Policepardfaut"/>
    <w:rsid w:val="002C33D4"/>
  </w:style>
  <w:style w:type="paragraph" w:styleId="Paragraphedeliste">
    <w:name w:val="List Paragraph"/>
    <w:basedOn w:val="Normal"/>
    <w:qFormat/>
    <w:rsid w:val="00043787"/>
    <w:pPr>
      <w:ind w:left="720"/>
      <w:contextualSpacing/>
    </w:pPr>
  </w:style>
  <w:style w:type="paragraph" w:customStyle="1" w:styleId="yiv2584172048msonormal">
    <w:name w:val="yiv2584172048msonormal"/>
    <w:basedOn w:val="Normal"/>
    <w:rsid w:val="008811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3E94"/>
    <w:rPr>
      <w:color w:val="0000FF" w:themeColor="hyperlink"/>
      <w:u w:val="single"/>
    </w:rPr>
  </w:style>
  <w:style w:type="character" w:styleId="Mentionnonrsolue">
    <w:name w:val="Unresolved Mention"/>
    <w:basedOn w:val="Policepardfaut"/>
    <w:uiPriority w:val="99"/>
    <w:semiHidden/>
    <w:unhideWhenUsed/>
    <w:rsid w:val="00CB3E94"/>
    <w:rPr>
      <w:color w:val="605E5C"/>
      <w:shd w:val="clear" w:color="auto" w:fill="E1DFDD"/>
    </w:rPr>
  </w:style>
  <w:style w:type="paragraph" w:customStyle="1" w:styleId="Default">
    <w:name w:val="Default"/>
    <w:rsid w:val="00CB3E94"/>
    <w:pPr>
      <w:autoSpaceDE w:val="0"/>
      <w:autoSpaceDN w:val="0"/>
      <w:adjustRightInd w:val="0"/>
      <w:spacing w:after="0" w:line="240" w:lineRule="auto"/>
    </w:pPr>
    <w:rPr>
      <w:rFonts w:ascii="Segoe UI" w:eastAsia="Calibri" w:hAnsi="Segoe UI" w:cs="Segoe UI"/>
      <w:color w:val="000000"/>
      <w:sz w:val="24"/>
      <w:szCs w:val="24"/>
      <w:lang w:eastAsia="fr-FR"/>
    </w:rPr>
  </w:style>
  <w:style w:type="paragraph" w:customStyle="1" w:styleId="xmsolistparagraph">
    <w:name w:val="x_msolistparagraph"/>
    <w:basedOn w:val="Normal"/>
    <w:rsid w:val="00DC2F53"/>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66250">
      <w:bodyDiv w:val="1"/>
      <w:marLeft w:val="0"/>
      <w:marRight w:val="0"/>
      <w:marTop w:val="0"/>
      <w:marBottom w:val="0"/>
      <w:divBdr>
        <w:top w:val="none" w:sz="0" w:space="0" w:color="auto"/>
        <w:left w:val="none" w:sz="0" w:space="0" w:color="auto"/>
        <w:bottom w:val="none" w:sz="0" w:space="0" w:color="auto"/>
        <w:right w:val="none" w:sz="0" w:space="0" w:color="auto"/>
      </w:divBdr>
      <w:divsChild>
        <w:div w:id="280962558">
          <w:marLeft w:val="0"/>
          <w:marRight w:val="0"/>
          <w:marTop w:val="0"/>
          <w:marBottom w:val="0"/>
          <w:divBdr>
            <w:top w:val="none" w:sz="0" w:space="0" w:color="auto"/>
            <w:left w:val="none" w:sz="0" w:space="0" w:color="auto"/>
            <w:bottom w:val="none" w:sz="0" w:space="0" w:color="auto"/>
            <w:right w:val="none" w:sz="0" w:space="0" w:color="auto"/>
          </w:divBdr>
          <w:divsChild>
            <w:div w:id="1185048737">
              <w:marLeft w:val="180"/>
              <w:marRight w:val="180"/>
              <w:marTop w:val="0"/>
              <w:marBottom w:val="0"/>
              <w:divBdr>
                <w:top w:val="none" w:sz="0" w:space="0" w:color="auto"/>
                <w:left w:val="none" w:sz="0" w:space="0" w:color="auto"/>
                <w:bottom w:val="none" w:sz="0" w:space="0" w:color="auto"/>
                <w:right w:val="none" w:sz="0" w:space="0" w:color="auto"/>
              </w:divBdr>
              <w:divsChild>
                <w:div w:id="18506894">
                  <w:marLeft w:val="-60"/>
                  <w:marRight w:val="-60"/>
                  <w:marTop w:val="0"/>
                  <w:marBottom w:val="0"/>
                  <w:divBdr>
                    <w:top w:val="none" w:sz="0" w:space="0" w:color="auto"/>
                    <w:left w:val="none" w:sz="0" w:space="0" w:color="auto"/>
                    <w:bottom w:val="none" w:sz="0" w:space="0" w:color="auto"/>
                    <w:right w:val="none" w:sz="0" w:space="0" w:color="auto"/>
                  </w:divBdr>
                  <w:divsChild>
                    <w:div w:id="1493063042">
                      <w:marLeft w:val="0"/>
                      <w:marRight w:val="0"/>
                      <w:marTop w:val="0"/>
                      <w:marBottom w:val="0"/>
                      <w:divBdr>
                        <w:top w:val="none" w:sz="0" w:space="0" w:color="auto"/>
                        <w:left w:val="none" w:sz="0" w:space="0" w:color="auto"/>
                        <w:bottom w:val="none" w:sz="0" w:space="0" w:color="auto"/>
                        <w:right w:val="none" w:sz="0" w:space="0" w:color="auto"/>
                      </w:divBdr>
                      <w:divsChild>
                        <w:div w:id="1901012093">
                          <w:marLeft w:val="0"/>
                          <w:marRight w:val="0"/>
                          <w:marTop w:val="0"/>
                          <w:marBottom w:val="0"/>
                          <w:divBdr>
                            <w:top w:val="none" w:sz="0" w:space="0" w:color="auto"/>
                            <w:left w:val="none" w:sz="0" w:space="0" w:color="auto"/>
                            <w:bottom w:val="none" w:sz="0" w:space="0" w:color="auto"/>
                            <w:right w:val="none" w:sz="0" w:space="0" w:color="auto"/>
                          </w:divBdr>
                          <w:divsChild>
                            <w:div w:id="337850024">
                              <w:marLeft w:val="-60"/>
                              <w:marRight w:val="-60"/>
                              <w:marTop w:val="0"/>
                              <w:marBottom w:val="0"/>
                              <w:divBdr>
                                <w:top w:val="none" w:sz="0" w:space="0" w:color="auto"/>
                                <w:left w:val="none" w:sz="0" w:space="0" w:color="auto"/>
                                <w:bottom w:val="none" w:sz="0" w:space="0" w:color="auto"/>
                                <w:right w:val="none" w:sz="0" w:space="0" w:color="auto"/>
                              </w:divBdr>
                              <w:divsChild>
                                <w:div w:id="370114122">
                                  <w:marLeft w:val="0"/>
                                  <w:marRight w:val="0"/>
                                  <w:marTop w:val="0"/>
                                  <w:marBottom w:val="0"/>
                                  <w:divBdr>
                                    <w:top w:val="none" w:sz="0" w:space="0" w:color="auto"/>
                                    <w:left w:val="none" w:sz="0" w:space="0" w:color="auto"/>
                                    <w:bottom w:val="none" w:sz="0" w:space="0" w:color="auto"/>
                                    <w:right w:val="none" w:sz="0" w:space="0" w:color="auto"/>
                                  </w:divBdr>
                                  <w:divsChild>
                                    <w:div w:id="1624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425114">
      <w:bodyDiv w:val="1"/>
      <w:marLeft w:val="0"/>
      <w:marRight w:val="0"/>
      <w:marTop w:val="0"/>
      <w:marBottom w:val="0"/>
      <w:divBdr>
        <w:top w:val="none" w:sz="0" w:space="0" w:color="auto"/>
        <w:left w:val="none" w:sz="0" w:space="0" w:color="auto"/>
        <w:bottom w:val="none" w:sz="0" w:space="0" w:color="auto"/>
        <w:right w:val="none" w:sz="0" w:space="0" w:color="auto"/>
      </w:divBdr>
    </w:div>
    <w:div w:id="1074208497">
      <w:bodyDiv w:val="1"/>
      <w:marLeft w:val="0"/>
      <w:marRight w:val="0"/>
      <w:marTop w:val="0"/>
      <w:marBottom w:val="0"/>
      <w:divBdr>
        <w:top w:val="none" w:sz="0" w:space="0" w:color="auto"/>
        <w:left w:val="none" w:sz="0" w:space="0" w:color="auto"/>
        <w:bottom w:val="none" w:sz="0" w:space="0" w:color="auto"/>
        <w:right w:val="none" w:sz="0" w:space="0" w:color="auto"/>
      </w:divBdr>
    </w:div>
    <w:div w:id="1568026368">
      <w:bodyDiv w:val="1"/>
      <w:marLeft w:val="0"/>
      <w:marRight w:val="0"/>
      <w:marTop w:val="0"/>
      <w:marBottom w:val="0"/>
      <w:divBdr>
        <w:top w:val="none" w:sz="0" w:space="0" w:color="auto"/>
        <w:left w:val="none" w:sz="0" w:space="0" w:color="auto"/>
        <w:bottom w:val="none" w:sz="0" w:space="0" w:color="auto"/>
        <w:right w:val="none" w:sz="0" w:space="0" w:color="auto"/>
      </w:divBdr>
    </w:div>
    <w:div w:id="1974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comcom-crozon.b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0E7E-9DE3-48A3-9226-E106002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accueil</dc:creator>
  <cp:lastModifiedBy>Armelle PRIGENT LEMETAIS</cp:lastModifiedBy>
  <cp:revision>24</cp:revision>
  <cp:lastPrinted>2016-12-28T14:19:00Z</cp:lastPrinted>
  <dcterms:created xsi:type="dcterms:W3CDTF">2019-12-05T16:33:00Z</dcterms:created>
  <dcterms:modified xsi:type="dcterms:W3CDTF">2021-07-16T14:33:00Z</dcterms:modified>
</cp:coreProperties>
</file>